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46530" w14:textId="68FEE085" w:rsidR="00C14EA3" w:rsidRDefault="00C14EA3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</w:t>
      </w:r>
      <w:r w:rsidR="009472E7">
        <w:rPr>
          <w:rFonts w:ascii="Arial" w:eastAsia="Arial Unicode MS" w:hAnsi="Arial" w:cs="Arial"/>
          <w:b/>
          <w:bCs/>
          <w:sz w:val="24"/>
        </w:rPr>
        <w:t>70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50</w:t>
      </w:r>
      <w:r w:rsidR="00EB5F9E">
        <w:rPr>
          <w:rFonts w:ascii="Arial" w:eastAsia="Arial Unicode MS" w:hAnsi="Arial" w:cs="Arial"/>
          <w:b/>
          <w:bCs/>
          <w:i/>
          <w:sz w:val="28"/>
        </w:rPr>
        <w:t>7252</w:t>
      </w:r>
    </w:p>
    <w:p w14:paraId="6EEAB142" w14:textId="0E4B3580" w:rsidR="00C14EA3" w:rsidRPr="00927C1B" w:rsidRDefault="009472E7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472E7">
        <w:rPr>
          <w:rFonts w:ascii="Arial" w:eastAsia="Arial Unicode MS" w:hAnsi="Arial" w:cs="Arial"/>
          <w:b/>
          <w:bCs/>
          <w:sz w:val="24"/>
        </w:rPr>
        <w:t>Goteborg, SE</w:t>
      </w:r>
      <w:r w:rsidR="00B829D5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25</w:t>
      </w:r>
      <w:r w:rsidRPr="009472E7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Aug</w:t>
      </w:r>
      <w:r w:rsidR="00B829D5">
        <w:rPr>
          <w:rFonts w:ascii="Arial" w:eastAsia="Arial Unicode MS" w:hAnsi="Arial" w:cs="Arial"/>
          <w:b/>
          <w:bCs/>
          <w:sz w:val="24"/>
        </w:rPr>
        <w:t xml:space="preserve"> </w:t>
      </w:r>
      <w:r w:rsidR="00B829D5" w:rsidRPr="00F4738E">
        <w:rPr>
          <w:rFonts w:ascii="Arial" w:eastAsia="Arial Unicode MS" w:hAnsi="Arial" w:cs="Arial"/>
          <w:b/>
          <w:bCs/>
          <w:sz w:val="24"/>
        </w:rPr>
        <w:t>–</w:t>
      </w:r>
      <w:r w:rsidR="00B829D5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29</w:t>
      </w:r>
      <w:r w:rsidRPr="009472E7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Aug</w:t>
      </w:r>
      <w:r w:rsidR="00B829D5">
        <w:rPr>
          <w:rFonts w:ascii="Arial" w:eastAsia="Arial Unicode MS" w:hAnsi="Arial" w:cs="Arial"/>
          <w:b/>
          <w:bCs/>
          <w:sz w:val="24"/>
        </w:rPr>
        <w:t xml:space="preserve">, </w:t>
      </w:r>
      <w:r w:rsidR="00B829D5" w:rsidRPr="009B64E4">
        <w:rPr>
          <w:rFonts w:ascii="Arial" w:eastAsia="Arial Unicode MS" w:hAnsi="Arial" w:cs="Arial"/>
          <w:b/>
          <w:bCs/>
          <w:sz w:val="24"/>
        </w:rPr>
        <w:t>202</w:t>
      </w:r>
      <w:r w:rsidR="00B829D5">
        <w:rPr>
          <w:rFonts w:ascii="Arial" w:eastAsia="Arial Unicode MS" w:hAnsi="Arial" w:cs="Arial"/>
          <w:b/>
          <w:bCs/>
          <w:sz w:val="24"/>
        </w:rPr>
        <w:t>5</w:t>
      </w:r>
      <w:r w:rsidR="00C14EA3" w:rsidRPr="00927C1B">
        <w:rPr>
          <w:rFonts w:ascii="Arial" w:eastAsia="Arial Unicode MS" w:hAnsi="Arial" w:cs="Arial"/>
          <w:b/>
          <w:bCs/>
        </w:rPr>
        <w:tab/>
      </w:r>
      <w:r w:rsidR="00C14EA3">
        <w:rPr>
          <w:rFonts w:ascii="Arial" w:hAnsi="Arial" w:cs="Arial"/>
          <w:b/>
          <w:bCs/>
          <w:color w:val="0000FF"/>
        </w:rPr>
        <w:t>(revision of S2-250</w:t>
      </w:r>
      <w:r w:rsidR="00C14EA3" w:rsidRPr="00E879AF">
        <w:rPr>
          <w:rFonts w:ascii="Arial" w:hAnsi="Arial" w:cs="Arial"/>
          <w:b/>
          <w:bCs/>
          <w:color w:val="0000FF"/>
        </w:rPr>
        <w:t>xxxx)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C60AB3E" w14:textId="6185CD08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D212A">
        <w:rPr>
          <w:rFonts w:ascii="Arial" w:hAnsi="Arial" w:cs="Arial"/>
          <w:b/>
        </w:rPr>
        <w:t>WT1</w:t>
      </w:r>
      <w:r w:rsidR="00EC120A">
        <w:rPr>
          <w:rFonts w:ascii="Arial" w:hAnsi="Arial" w:cs="Arial"/>
          <w:b/>
        </w:rPr>
        <w:t xml:space="preserve"> Interim Agreement</w:t>
      </w:r>
      <w:r w:rsidR="00CF78B2">
        <w:rPr>
          <w:rFonts w:ascii="Arial" w:hAnsi="Arial" w:cs="Arial"/>
          <w:b/>
        </w:rPr>
        <w:t>:</w:t>
      </w:r>
      <w:r w:rsidR="00A606D9">
        <w:rPr>
          <w:rFonts w:ascii="Arial" w:hAnsi="Arial" w:cs="Arial"/>
          <w:b/>
        </w:rPr>
        <w:t xml:space="preserve"> </w:t>
      </w:r>
      <w:r w:rsidR="002F7972" w:rsidRPr="002F7972">
        <w:rPr>
          <w:rFonts w:ascii="Arial" w:hAnsi="Arial" w:cs="Arial"/>
          <w:b/>
        </w:rPr>
        <w:t xml:space="preserve">Topology 2 </w:t>
      </w:r>
      <w:r w:rsidR="00E1687F">
        <w:rPr>
          <w:rFonts w:ascii="Arial" w:hAnsi="Arial" w:cs="Arial"/>
          <w:b/>
        </w:rPr>
        <w:t>I</w:t>
      </w:r>
      <w:r w:rsidR="00D618AC">
        <w:rPr>
          <w:rFonts w:ascii="Arial" w:hAnsi="Arial" w:cs="Arial"/>
          <w:b/>
        </w:rPr>
        <w:t xml:space="preserve">nterim </w:t>
      </w:r>
      <w:r w:rsidR="00E1687F">
        <w:rPr>
          <w:rFonts w:ascii="Arial" w:hAnsi="Arial" w:cs="Arial"/>
          <w:b/>
        </w:rPr>
        <w:t>A</w:t>
      </w:r>
      <w:r w:rsidR="000F2512">
        <w:rPr>
          <w:rFonts w:ascii="Arial" w:hAnsi="Arial" w:cs="Arial"/>
          <w:b/>
        </w:rPr>
        <w:t>greements</w:t>
      </w:r>
      <w:r w:rsidR="00006923">
        <w:rPr>
          <w:rFonts w:ascii="Arial" w:hAnsi="Arial" w:cs="Arial"/>
          <w:b/>
        </w:rPr>
        <w:t xml:space="preserve"> based in Rel-19</w:t>
      </w:r>
      <w:r w:rsidR="00973433">
        <w:rPr>
          <w:rFonts w:ascii="Arial" w:hAnsi="Arial" w:cs="Arial"/>
          <w:b/>
        </w:rPr>
        <w:t xml:space="preserve"> Study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446B9E91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909C6">
        <w:rPr>
          <w:rFonts w:ascii="Arial" w:hAnsi="Arial" w:cs="Arial"/>
          <w:b/>
        </w:rPr>
        <w:t>20.5.1</w:t>
      </w:r>
    </w:p>
    <w:p w14:paraId="50306FB0" w14:textId="51FDE73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621B5" w:rsidRPr="00A621B5">
        <w:rPr>
          <w:rFonts w:ascii="Arial" w:hAnsi="Arial" w:cs="Arial"/>
          <w:b/>
        </w:rPr>
        <w:t>FS_AmbientIoT_Ph2_ARC</w:t>
      </w:r>
      <w:r w:rsidR="00462B3D" w:rsidRPr="00CA76A1">
        <w:rPr>
          <w:rFonts w:ascii="Arial" w:hAnsi="Arial" w:cs="Arial"/>
          <w:b/>
        </w:rPr>
        <w:t xml:space="preserve"> / Rel-</w:t>
      </w:r>
      <w:r w:rsidR="00A621B5">
        <w:rPr>
          <w:rFonts w:ascii="Arial" w:hAnsi="Arial" w:cs="Arial"/>
          <w:b/>
        </w:rPr>
        <w:t>20</w:t>
      </w:r>
    </w:p>
    <w:p w14:paraId="6D39A49A" w14:textId="05C32B4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0E57BB">
        <w:rPr>
          <w:rFonts w:ascii="Arial" w:hAnsi="Arial" w:cs="Arial"/>
          <w:i/>
        </w:rPr>
        <w:t>Rel-19 provided interim conclusions for topology 2 support for RRC option for T2</w:t>
      </w:r>
      <w:r w:rsidR="000F2512">
        <w:rPr>
          <w:rFonts w:ascii="Arial" w:hAnsi="Arial" w:cs="Arial"/>
          <w:i/>
        </w:rPr>
        <w:t>, these are converted to interim agreements in Rel-20</w:t>
      </w:r>
      <w:r w:rsidR="000E57BB">
        <w:rPr>
          <w:rFonts w:ascii="Arial" w:hAnsi="Arial" w:cs="Arial"/>
          <w:i/>
        </w:rPr>
        <w:t>.</w:t>
      </w:r>
    </w:p>
    <w:p w14:paraId="576C96D7" w14:textId="77777777" w:rsidR="00A93620" w:rsidRPr="00927C1B" w:rsidRDefault="00B3593E" w:rsidP="00B3593E">
      <w:pPr>
        <w:pStyle w:val="Heading1"/>
      </w:pPr>
      <w:r w:rsidRPr="005870F7">
        <w:t xml:space="preserve">1. </w:t>
      </w:r>
      <w:r w:rsidR="00305F20" w:rsidRPr="005870F7">
        <w:t>Introduction</w:t>
      </w:r>
      <w:r w:rsidR="00BE6AFC" w:rsidRPr="005870F7">
        <w:t>/Discussion</w:t>
      </w:r>
    </w:p>
    <w:p w14:paraId="7BE38959" w14:textId="75DB0019" w:rsidR="00DF0A26" w:rsidRDefault="00B60F66" w:rsidP="008754B1">
      <w:pPr>
        <w:jc w:val="both"/>
        <w:rPr>
          <w:lang w:eastAsia="zh-CN"/>
        </w:rPr>
      </w:pPr>
      <w:r>
        <w:rPr>
          <w:lang w:eastAsia="zh-CN"/>
        </w:rPr>
        <w:t xml:space="preserve">These </w:t>
      </w:r>
      <w:r w:rsidR="002852FE">
        <w:rPr>
          <w:lang w:eastAsia="zh-CN"/>
        </w:rPr>
        <w:t xml:space="preserve">Rel-20 interim </w:t>
      </w:r>
      <w:r>
        <w:rPr>
          <w:lang w:eastAsia="zh-CN"/>
        </w:rPr>
        <w:t xml:space="preserve">agreements are </w:t>
      </w:r>
      <w:r w:rsidR="002852FE">
        <w:rPr>
          <w:lang w:eastAsia="zh-CN"/>
        </w:rPr>
        <w:t>copies</w:t>
      </w:r>
      <w:r w:rsidR="007E3506">
        <w:rPr>
          <w:lang w:eastAsia="zh-CN"/>
        </w:rPr>
        <w:t xml:space="preserve"> of</w:t>
      </w:r>
      <w:r w:rsidR="002852FE">
        <w:rPr>
          <w:lang w:eastAsia="zh-CN"/>
        </w:rPr>
        <w:t xml:space="preserve"> </w:t>
      </w:r>
      <w:r w:rsidR="009D23A4">
        <w:rPr>
          <w:lang w:eastAsia="zh-CN"/>
        </w:rPr>
        <w:t xml:space="preserve">the </w:t>
      </w:r>
      <w:r>
        <w:rPr>
          <w:lang w:eastAsia="zh-CN"/>
        </w:rPr>
        <w:t xml:space="preserve">interim </w:t>
      </w:r>
      <w:r w:rsidR="009D23A4">
        <w:rPr>
          <w:lang w:eastAsia="zh-CN"/>
        </w:rPr>
        <w:t xml:space="preserve">conclusion from Rel-19 TR 23.700-13 for topology 2 </w:t>
      </w:r>
      <w:r w:rsidR="00FA2F18">
        <w:rPr>
          <w:lang w:eastAsia="zh-CN"/>
        </w:rPr>
        <w:t xml:space="preserve">for the </w:t>
      </w:r>
      <w:r w:rsidR="009D23A4">
        <w:rPr>
          <w:lang w:eastAsia="zh-CN"/>
        </w:rPr>
        <w:t>RRC option.</w:t>
      </w:r>
    </w:p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28283C14" w:rsidR="00CA6115" w:rsidRPr="00813D73" w:rsidRDefault="00F40EE5" w:rsidP="008754B1">
      <w:pPr>
        <w:jc w:val="both"/>
        <w:rPr>
          <w:lang w:eastAsia="zh-CN"/>
        </w:rPr>
      </w:pPr>
      <w:r w:rsidRPr="00E809AE">
        <w:rPr>
          <w:lang w:eastAsia="zh-CN"/>
        </w:rPr>
        <w:t>It is proposed to capture the following changes vs. TR</w:t>
      </w:r>
      <w:r w:rsidR="00B7146B" w:rsidRPr="00E809AE">
        <w:t> </w:t>
      </w:r>
      <w:r w:rsidRPr="00E809AE">
        <w:rPr>
          <w:lang w:eastAsia="zh-CN"/>
        </w:rPr>
        <w:t>23.</w:t>
      </w:r>
      <w:r w:rsidR="00AE0B99" w:rsidRPr="00E809AE">
        <w:rPr>
          <w:lang w:eastAsia="zh-CN"/>
        </w:rPr>
        <w:t>700-</w:t>
      </w:r>
      <w:r w:rsidR="00E809AE" w:rsidRPr="00E809AE">
        <w:rPr>
          <w:lang w:eastAsia="zh-CN"/>
        </w:rPr>
        <w:t>30</w:t>
      </w:r>
      <w:r w:rsidRPr="00E809AE">
        <w:rPr>
          <w:lang w:eastAsia="zh-CN"/>
        </w:rPr>
        <w:t>.</w:t>
      </w:r>
    </w:p>
    <w:p w14:paraId="64544939" w14:textId="093CDA86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1D1C69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6C513B47" w14:textId="77777777" w:rsidR="00D5453D" w:rsidRPr="00822E86" w:rsidRDefault="00D5453D" w:rsidP="00D5453D">
      <w:pPr>
        <w:pStyle w:val="Heading1"/>
        <w:rPr>
          <w:lang w:eastAsia="zh-CN"/>
        </w:rPr>
      </w:pPr>
      <w:bookmarkStart w:id="2" w:name="_Toc197067450"/>
      <w:bookmarkStart w:id="3" w:name="_Toc500949097"/>
      <w:bookmarkStart w:id="4" w:name="_Toc92875660"/>
      <w:bookmarkStart w:id="5" w:name="_Toc93070684"/>
      <w:bookmarkStart w:id="6" w:name="_Toc197067445"/>
      <w:bookmarkEnd w:id="1"/>
      <w:r w:rsidRPr="00822E86">
        <w:rPr>
          <w:lang w:eastAsia="zh-CN"/>
        </w:rPr>
        <w:t>7</w:t>
      </w:r>
      <w:r w:rsidRPr="00822E86">
        <w:rPr>
          <w:lang w:eastAsia="zh-CN"/>
        </w:rPr>
        <w:tab/>
      </w:r>
      <w:r>
        <w:rPr>
          <w:lang w:eastAsia="zh-CN"/>
        </w:rPr>
        <w:t>Interim agreements</w:t>
      </w:r>
      <w:bookmarkEnd w:id="2"/>
    </w:p>
    <w:p w14:paraId="035C1685" w14:textId="77777777" w:rsidR="00D5453D" w:rsidRPr="00DA406C" w:rsidRDefault="00D5453D" w:rsidP="00D5453D">
      <w:pPr>
        <w:pStyle w:val="Heading2"/>
      </w:pPr>
      <w:bookmarkStart w:id="7" w:name="_Toc197067451"/>
      <w:r w:rsidRPr="00DA406C">
        <w:t>7.1</w:t>
      </w:r>
      <w:r w:rsidRPr="00DA406C">
        <w:tab/>
        <w:t>Agreed Principles</w:t>
      </w:r>
      <w:bookmarkEnd w:id="7"/>
      <w:r w:rsidRPr="00DA406C">
        <w:t xml:space="preserve"> </w:t>
      </w:r>
    </w:p>
    <w:p w14:paraId="7ED8AC60" w14:textId="2F28379B" w:rsidR="00D5453D" w:rsidRPr="00DA406C" w:rsidRDefault="00D5453D" w:rsidP="00D5453D">
      <w:pPr>
        <w:pStyle w:val="Heading3"/>
      </w:pPr>
      <w:bookmarkStart w:id="8" w:name="_Toc197067452"/>
      <w:r w:rsidRPr="00DA406C">
        <w:t>7.1.Y</w:t>
      </w:r>
      <w:r w:rsidRPr="00DA406C">
        <w:tab/>
        <w:t>Agreed Principles for KI</w:t>
      </w:r>
      <w:bookmarkEnd w:id="8"/>
      <w:r>
        <w:t>1</w:t>
      </w:r>
    </w:p>
    <w:p w14:paraId="62C4472F" w14:textId="671CDDDF" w:rsidR="00A52928" w:rsidRDefault="00A52928" w:rsidP="00A52928">
      <w:bookmarkStart w:id="9" w:name="_Toc197067453"/>
      <w:r>
        <w:t>The following principles apply for Topology 2:</w:t>
      </w:r>
    </w:p>
    <w:p w14:paraId="5978A6A7" w14:textId="3C2E6D7A" w:rsidR="00CC4D51" w:rsidRDefault="00CC4D51" w:rsidP="00CC4D51">
      <w:pPr>
        <w:pStyle w:val="B1"/>
      </w:pPr>
      <w:r>
        <w:t>-</w:t>
      </w:r>
      <w:r>
        <w:tab/>
        <w:t>The architecture and procedures for Ambient IoT defined in TS 23.369 [x] are used as a bas</w:t>
      </w:r>
      <w:r w:rsidR="000F2512">
        <w:t>e</w:t>
      </w:r>
      <w:r>
        <w:t>line for topology 2 support, with the difference that a UE Reader performs AIoT Service Operation requests from an AIOTF instead of a RAN Reader.</w:t>
      </w:r>
    </w:p>
    <w:p w14:paraId="21275098" w14:textId="178CB08A" w:rsidR="00A52928" w:rsidRDefault="009E51A4" w:rsidP="009E51A4">
      <w:pPr>
        <w:pStyle w:val="B1"/>
      </w:pPr>
      <w:r>
        <w:t>-</w:t>
      </w:r>
      <w:r>
        <w:tab/>
      </w:r>
      <w:r w:rsidR="00A52928">
        <w:t>Subscription Aspects:</w:t>
      </w:r>
    </w:p>
    <w:p w14:paraId="7C4BAB49" w14:textId="77777777" w:rsidR="00A52928" w:rsidRDefault="00A52928" w:rsidP="009E51A4">
      <w:pPr>
        <w:pStyle w:val="B2"/>
      </w:pPr>
      <w:r>
        <w:t>-</w:t>
      </w:r>
      <w:r>
        <w:tab/>
        <w:t>The UE subscription in the UDM will be extended with UE Reader subscription information, which consists of the following:</w:t>
      </w:r>
    </w:p>
    <w:p w14:paraId="7DF70813" w14:textId="77777777" w:rsidR="00A52928" w:rsidRDefault="00A52928" w:rsidP="000F2512">
      <w:pPr>
        <w:pStyle w:val="B3"/>
      </w:pPr>
      <w:r>
        <w:t>-</w:t>
      </w:r>
      <w:r>
        <w:tab/>
        <w:t>information indicating whether the UE is allowed to operate as a UE Reader.</w:t>
      </w:r>
    </w:p>
    <w:p w14:paraId="08FDCB26" w14:textId="77777777" w:rsidR="00A52928" w:rsidRDefault="00A52928" w:rsidP="009E51A4">
      <w:pPr>
        <w:pStyle w:val="B2"/>
      </w:pPr>
      <w:r>
        <w:t>-</w:t>
      </w:r>
      <w:r>
        <w:tab/>
        <w:t>UE Reader subscription information is available to AMF and AIOTF.</w:t>
      </w:r>
    </w:p>
    <w:p w14:paraId="0B67293B" w14:textId="77777777" w:rsidR="00A52928" w:rsidRDefault="00A52928" w:rsidP="009E51A4">
      <w:pPr>
        <w:pStyle w:val="B2"/>
      </w:pPr>
      <w:r>
        <w:t>-</w:t>
      </w:r>
      <w:r>
        <w:tab/>
        <w:t>If AMF receives, as part of the subscription information, the indication that the UE is authorized to operate as a UE Reader, then the AMF informs NG-RAN that the UE is authorized to operate as a UE Reader.</w:t>
      </w:r>
    </w:p>
    <w:p w14:paraId="0FA5674C" w14:textId="690388EE" w:rsidR="00A52928" w:rsidRDefault="00CC4D51" w:rsidP="00CC4D51">
      <w:pPr>
        <w:pStyle w:val="B1"/>
      </w:pPr>
      <w:r>
        <w:t>-</w:t>
      </w:r>
      <w:r>
        <w:tab/>
      </w:r>
      <w:r w:rsidR="00A52928">
        <w:t>Radio resource management for UE Reader operation:</w:t>
      </w:r>
    </w:p>
    <w:p w14:paraId="57787E30" w14:textId="77777777" w:rsidR="00A52928" w:rsidRDefault="00A52928" w:rsidP="00CC4D51">
      <w:pPr>
        <w:pStyle w:val="B2"/>
      </w:pPr>
      <w:r>
        <w:t>-</w:t>
      </w:r>
      <w:r>
        <w:tab/>
        <w:t>If the gNB has received the indication that a UE is authorized to operate as a UE Reader, then the gNB may assign radio resources to the UE for UE Reader operation.</w:t>
      </w:r>
    </w:p>
    <w:p w14:paraId="448DDE64" w14:textId="77777777" w:rsidR="00A52928" w:rsidRDefault="00A52928" w:rsidP="00CC4D51">
      <w:pPr>
        <w:pStyle w:val="B2"/>
      </w:pPr>
      <w:r>
        <w:lastRenderedPageBreak/>
        <w:t>-</w:t>
      </w:r>
      <w:r>
        <w:tab/>
        <w:t>The UE Reader is assumed to request radio resources for Reader operation (e.g., taking into account assistance information received from the AIOTF) from the gNB.</w:t>
      </w:r>
    </w:p>
    <w:p w14:paraId="11996BD6" w14:textId="77777777" w:rsidR="00A52928" w:rsidRDefault="00A52928" w:rsidP="00A52928">
      <w:pPr>
        <w:pStyle w:val="NO"/>
      </w:pPr>
      <w:r>
        <w:t>NOTE 1:</w:t>
      </w:r>
      <w:r>
        <w:tab/>
        <w:t>Assistance information is specified in TS</w:t>
      </w:r>
      <w:r w:rsidRPr="007B6C12">
        <w:t> </w:t>
      </w:r>
      <w:r>
        <w:t>23.369</w:t>
      </w:r>
      <w:r w:rsidRPr="007B6C12">
        <w:t> </w:t>
      </w:r>
      <w:r>
        <w:t>[x].</w:t>
      </w:r>
    </w:p>
    <w:p w14:paraId="45CAAB7C" w14:textId="77777777" w:rsidR="00A52928" w:rsidRDefault="00A52928" w:rsidP="00A52928">
      <w:pPr>
        <w:pStyle w:val="NO"/>
      </w:pPr>
      <w:r>
        <w:t>NOTE 2:</w:t>
      </w:r>
      <w:r>
        <w:tab/>
        <w:t>The details of UE Reader radio resource management will be defined by RAN WG2.</w:t>
      </w:r>
    </w:p>
    <w:p w14:paraId="0B219D79" w14:textId="008088CA" w:rsidR="00A52928" w:rsidRPr="007B6C12" w:rsidRDefault="00261E55" w:rsidP="00A52928">
      <w:r>
        <w:t>In the indirect connectivity architecture</w:t>
      </w:r>
      <w:r w:rsidRPr="007B6C12">
        <w:t xml:space="preserve"> </w:t>
      </w:r>
      <w:r>
        <w:t>m</w:t>
      </w:r>
      <w:r w:rsidR="00A52928" w:rsidRPr="007B6C12">
        <w:t>essages between the UE Reader and the AI</w:t>
      </w:r>
      <w:r w:rsidR="00A52928">
        <w:t>O</w:t>
      </w:r>
      <w:r w:rsidR="00A52928" w:rsidRPr="007B6C12">
        <w:t>TF are delivered using RRC</w:t>
      </w:r>
      <w:r w:rsidR="00A52928" w:rsidRPr="005634D4">
        <w:t xml:space="preserve"> </w:t>
      </w:r>
      <w:r w:rsidR="00A52928">
        <w:t>between UE and RRC</w:t>
      </w:r>
      <w:r w:rsidR="00A52928" w:rsidRPr="007B6C12">
        <w:t xml:space="preserve"> and </w:t>
      </w:r>
      <w:r w:rsidR="00A52928">
        <w:t>NGAP</w:t>
      </w:r>
      <w:r w:rsidR="00A52928" w:rsidRPr="007B6C12">
        <w:t xml:space="preserve"> between gNB and </w:t>
      </w:r>
      <w:r w:rsidR="00A52928">
        <w:t xml:space="preserve">AMF, and using an SBI interface between AMF and </w:t>
      </w:r>
      <w:r w:rsidR="00A52928" w:rsidRPr="007B6C12">
        <w:t>AI</w:t>
      </w:r>
      <w:r w:rsidR="00A52928">
        <w:t>O</w:t>
      </w:r>
      <w:r w:rsidR="00A52928" w:rsidRPr="007B6C12">
        <w:t xml:space="preserve">TF. The related protocol stack </w:t>
      </w:r>
      <w:r w:rsidR="00A52928">
        <w:t>is</w:t>
      </w:r>
      <w:r w:rsidR="00A52928" w:rsidRPr="007B6C12">
        <w:t xml:space="preserve"> shown in Figure </w:t>
      </w:r>
      <w:r w:rsidR="00964C84">
        <w:t>7.1.y</w:t>
      </w:r>
      <w:r w:rsidR="00A52928" w:rsidRPr="007B6C12">
        <w:t>-1.</w:t>
      </w:r>
    </w:p>
    <w:p w14:paraId="23A2F43D" w14:textId="5E0C6C9F" w:rsidR="00A52928" w:rsidRDefault="00A52928" w:rsidP="00A52928">
      <w:pPr>
        <w:pStyle w:val="TH"/>
      </w:pPr>
      <w:r>
        <w:object w:dxaOrig="19335" w:dyaOrig="4980" w14:anchorId="07B76195">
          <v:shape id="_x0000_i1026" type="#_x0000_t75" style="width:483.25pt;height:124.4pt" o:ole="">
            <v:imagedata r:id="rId13" o:title=""/>
          </v:shape>
          <o:OLEObject Type="Embed" ProgID="Visio.Drawing.15" ShapeID="_x0000_i1026" DrawAspect="Content" ObjectID="_1816775357" r:id="rId14"/>
        </w:object>
      </w:r>
      <w:r w:rsidRPr="00947E01">
        <w:t>Figure </w:t>
      </w:r>
      <w:r w:rsidR="00964C84">
        <w:t>7.1.y</w:t>
      </w:r>
      <w:r w:rsidRPr="00947E01">
        <w:t>-1: Protocol Stack for the RRC option</w:t>
      </w:r>
    </w:p>
    <w:p w14:paraId="5E63420F" w14:textId="77777777" w:rsidR="00F236B5" w:rsidRDefault="00F236B5" w:rsidP="00F236B5">
      <w:pPr>
        <w:pStyle w:val="NO"/>
      </w:pPr>
      <w:r>
        <w:t>NOTE x:</w:t>
      </w:r>
      <w:r>
        <w:tab/>
        <w:t>The UE requires a serving AMF, and the AMF used by the AIOTF does not need to be the same AMF.</w:t>
      </w:r>
    </w:p>
    <w:p w14:paraId="20EA3036" w14:textId="04B6FD71" w:rsidR="00F236B5" w:rsidRPr="007B6C12" w:rsidRDefault="00F236B5" w:rsidP="00F236B5">
      <w:r>
        <w:t xml:space="preserve">In the direct connectivity architecture messages </w:t>
      </w:r>
      <w:r w:rsidRPr="007B6C12">
        <w:t>between the UE Reader and the AI</w:t>
      </w:r>
      <w:r>
        <w:t>O</w:t>
      </w:r>
      <w:r w:rsidRPr="007B6C12">
        <w:t>TF are delivered using RRC</w:t>
      </w:r>
      <w:r w:rsidRPr="005634D4">
        <w:t xml:space="preserve"> </w:t>
      </w:r>
      <w:r>
        <w:t>between UE and RRC</w:t>
      </w:r>
      <w:r w:rsidRPr="007B6C12">
        <w:t xml:space="preserve"> and </w:t>
      </w:r>
      <w:r>
        <w:t>NGAP</w:t>
      </w:r>
      <w:r w:rsidRPr="007B6C12">
        <w:t xml:space="preserve"> between gNB and </w:t>
      </w:r>
      <w:r>
        <w:t>AIOTF</w:t>
      </w:r>
      <w:r w:rsidRPr="007B6C12">
        <w:t xml:space="preserve">. The related protocol stack </w:t>
      </w:r>
      <w:r>
        <w:t>is</w:t>
      </w:r>
      <w:r w:rsidRPr="007B6C12">
        <w:t xml:space="preserve"> shown in Figure </w:t>
      </w:r>
      <w:r w:rsidR="00DA6330">
        <w:t>7.1.y</w:t>
      </w:r>
      <w:r w:rsidRPr="007B6C12">
        <w:t>-</w:t>
      </w:r>
      <w:r>
        <w:t>2</w:t>
      </w:r>
      <w:r w:rsidRPr="007B6C12">
        <w:t>.</w:t>
      </w:r>
    </w:p>
    <w:p w14:paraId="53485DA2" w14:textId="1DD6D503" w:rsidR="00F236B5" w:rsidRDefault="00F236B5" w:rsidP="00F236B5">
      <w:pPr>
        <w:pStyle w:val="TH"/>
      </w:pPr>
      <w:r>
        <w:object w:dxaOrig="19335" w:dyaOrig="4980" w14:anchorId="48FAF3AE">
          <v:shape id="_x0000_i1027" type="#_x0000_t75" style="width:483.25pt;height:124.4pt" o:ole="">
            <v:imagedata r:id="rId15" o:title=""/>
          </v:shape>
          <o:OLEObject Type="Embed" ProgID="Visio.Drawing.15" ShapeID="_x0000_i1027" DrawAspect="Content" ObjectID="_1816775358" r:id="rId16"/>
        </w:object>
      </w:r>
      <w:r w:rsidRPr="00947E01">
        <w:t>Figure </w:t>
      </w:r>
      <w:r w:rsidR="00DA6330">
        <w:t>7.1.y</w:t>
      </w:r>
      <w:r w:rsidRPr="00947E01">
        <w:t>-</w:t>
      </w:r>
      <w:r>
        <w:t>2</w:t>
      </w:r>
      <w:r w:rsidRPr="00947E01">
        <w:t xml:space="preserve">: Protocol Stack for the </w:t>
      </w:r>
      <w:r>
        <w:t xml:space="preserve">direct connectivity </w:t>
      </w:r>
      <w:r w:rsidRPr="00947E01">
        <w:t>RRC option</w:t>
      </w:r>
    </w:p>
    <w:p w14:paraId="1A3CFDC6" w14:textId="77777777" w:rsidR="00F236B5" w:rsidRDefault="00F236B5" w:rsidP="00F236B5">
      <w:pPr>
        <w:pStyle w:val="NO"/>
      </w:pPr>
      <w:r>
        <w:t>NOTE x:</w:t>
      </w:r>
      <w:r>
        <w:tab/>
        <w:t>The UE requires a serving AMF which is not shown in the direct connectivity protocol stack.</w:t>
      </w:r>
    </w:p>
    <w:p w14:paraId="5B2E63C4" w14:textId="77777777" w:rsidR="00A52928" w:rsidRDefault="00A52928" w:rsidP="00A52928"/>
    <w:p w14:paraId="536CB6DB" w14:textId="49467F09" w:rsidR="0041533C" w:rsidRPr="0042466D" w:rsidRDefault="0041533C" w:rsidP="004153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98D600A" w14:textId="5EA45E58" w:rsidR="00D5453D" w:rsidRPr="00DA406C" w:rsidRDefault="00D5453D" w:rsidP="00D5453D">
      <w:pPr>
        <w:pStyle w:val="Heading2"/>
      </w:pPr>
      <w:r w:rsidRPr="00DA406C">
        <w:t>7.2</w:t>
      </w:r>
      <w:r w:rsidRPr="00DA406C">
        <w:tab/>
        <w:t>Topics for further consideration</w:t>
      </w:r>
      <w:bookmarkEnd w:id="9"/>
    </w:p>
    <w:p w14:paraId="6FAA545E" w14:textId="7571DCF9" w:rsidR="00D5453D" w:rsidRPr="00DA406C" w:rsidRDefault="00D5453D" w:rsidP="00D5453D">
      <w:pPr>
        <w:pStyle w:val="Heading3"/>
      </w:pPr>
      <w:bookmarkStart w:id="10" w:name="_Toc197067454"/>
      <w:r w:rsidRPr="00DA406C">
        <w:t>7.2.Z</w:t>
      </w:r>
      <w:r w:rsidRPr="00DA406C">
        <w:tab/>
        <w:t>Topics for further consideration for KI</w:t>
      </w:r>
      <w:bookmarkEnd w:id="10"/>
      <w:r w:rsidR="001B7D65">
        <w:t>1</w:t>
      </w:r>
    </w:p>
    <w:p w14:paraId="5B43C5E3" w14:textId="0E5B3C6A" w:rsidR="00B530C5" w:rsidRDefault="00B530C5" w:rsidP="00B530C5">
      <w:r>
        <w:t>The following topics require further consideration:</w:t>
      </w:r>
    </w:p>
    <w:p w14:paraId="0DF55C78" w14:textId="1DAFF54B" w:rsidR="00B530C5" w:rsidRDefault="00B530C5" w:rsidP="00B530C5">
      <w:pPr>
        <w:pStyle w:val="B1"/>
      </w:pPr>
      <w:r>
        <w:t>-</w:t>
      </w:r>
      <w:r>
        <w:tab/>
        <w:t xml:space="preserve">How the AIOTF determines which AMF/NG-RAN node and the path to the NG-RAN node to use to send NGAP AIOT Information </w:t>
      </w:r>
      <w:r w:rsidR="002C4FCB">
        <w:t>for NG-RAN to instruct a UE Reader</w:t>
      </w:r>
      <w:r w:rsidR="00FF6B18">
        <w:t>.</w:t>
      </w:r>
    </w:p>
    <w:p w14:paraId="215CB70C" w14:textId="13AE4428" w:rsidR="00B530C5" w:rsidRDefault="00B530C5" w:rsidP="00B530C5">
      <w:pPr>
        <w:pStyle w:val="B1"/>
      </w:pPr>
      <w:r>
        <w:t>-</w:t>
      </w:r>
      <w:r>
        <w:tab/>
        <w:t>How the AIOTF, AMF and/or NG-RAN determine which UE to use and how to ensure that the UE is in CM_CONNECTED.</w:t>
      </w:r>
    </w:p>
    <w:p w14:paraId="1F7961E3" w14:textId="68567276" w:rsidR="004831A5" w:rsidRDefault="004831A5" w:rsidP="00B530C5">
      <w:pPr>
        <w:pStyle w:val="B1"/>
      </w:pPr>
      <w:r>
        <w:t>-</w:t>
      </w:r>
      <w:r>
        <w:tab/>
      </w:r>
      <w:r w:rsidR="004F1E0D">
        <w:t>How to revoke authorisation of a UE Reader</w:t>
      </w:r>
      <w:r w:rsidR="00D41428">
        <w:t>.</w:t>
      </w:r>
    </w:p>
    <w:p w14:paraId="5B91C51F" w14:textId="77777777" w:rsidR="00B530C5" w:rsidRPr="000D094B" w:rsidRDefault="00B530C5" w:rsidP="005D4E6F"/>
    <w:bookmarkEnd w:id="3"/>
    <w:bookmarkEnd w:id="4"/>
    <w:bookmarkEnd w:id="5"/>
    <w:bookmarkEnd w:id="6"/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17E83" w14:textId="77777777" w:rsidR="001D7F91" w:rsidRDefault="001D7F91">
      <w:r>
        <w:separator/>
      </w:r>
    </w:p>
    <w:p w14:paraId="682F1538" w14:textId="77777777" w:rsidR="001D7F91" w:rsidRDefault="001D7F91"/>
  </w:endnote>
  <w:endnote w:type="continuationSeparator" w:id="0">
    <w:p w14:paraId="570716C0" w14:textId="77777777" w:rsidR="001D7F91" w:rsidRDefault="001D7F91">
      <w:r>
        <w:continuationSeparator/>
      </w:r>
    </w:p>
    <w:p w14:paraId="46009B31" w14:textId="77777777" w:rsidR="001D7F91" w:rsidRDefault="001D7F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BB4D1" w14:textId="77777777" w:rsidR="001D7F91" w:rsidRDefault="001D7F91">
      <w:r>
        <w:separator/>
      </w:r>
    </w:p>
    <w:p w14:paraId="29647218" w14:textId="77777777" w:rsidR="001D7F91" w:rsidRDefault="001D7F91"/>
  </w:footnote>
  <w:footnote w:type="continuationSeparator" w:id="0">
    <w:p w14:paraId="163D5511" w14:textId="77777777" w:rsidR="001D7F91" w:rsidRDefault="001D7F91">
      <w:r>
        <w:continuationSeparator/>
      </w:r>
    </w:p>
    <w:p w14:paraId="49F51A22" w14:textId="77777777" w:rsidR="001D7F91" w:rsidRDefault="001D7F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6.15pt;height:16.1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4D8C6A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F2B4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9DC39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A96F4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0366F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526B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DFABF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EA8F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DA80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9CCC9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923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27BE"/>
    <w:rsid w:val="000E44F6"/>
    <w:rsid w:val="000E57BB"/>
    <w:rsid w:val="000F0450"/>
    <w:rsid w:val="000F06D8"/>
    <w:rsid w:val="000F2512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7C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5CF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29E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933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0CB"/>
    <w:rsid w:val="001B2446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B7D65"/>
    <w:rsid w:val="001C0A43"/>
    <w:rsid w:val="001C17E1"/>
    <w:rsid w:val="001C1E41"/>
    <w:rsid w:val="001C213C"/>
    <w:rsid w:val="001C4445"/>
    <w:rsid w:val="001C488F"/>
    <w:rsid w:val="001C501C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5DA"/>
    <w:rsid w:val="001D1C69"/>
    <w:rsid w:val="001D1FB4"/>
    <w:rsid w:val="001D2DF9"/>
    <w:rsid w:val="001D7F91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65FF"/>
    <w:rsid w:val="00257C37"/>
    <w:rsid w:val="00260A35"/>
    <w:rsid w:val="00260C09"/>
    <w:rsid w:val="00260FBA"/>
    <w:rsid w:val="00261D77"/>
    <w:rsid w:val="00261E55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2FE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52CD"/>
    <w:rsid w:val="002A6F90"/>
    <w:rsid w:val="002A7929"/>
    <w:rsid w:val="002B0231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FCB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B20"/>
    <w:rsid w:val="002F0C12"/>
    <w:rsid w:val="002F400D"/>
    <w:rsid w:val="002F4B59"/>
    <w:rsid w:val="002F4F84"/>
    <w:rsid w:val="002F5879"/>
    <w:rsid w:val="002F702C"/>
    <w:rsid w:val="002F7117"/>
    <w:rsid w:val="002F7972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39FF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7B86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88A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33C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1EE2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73F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872"/>
    <w:rsid w:val="004745FD"/>
    <w:rsid w:val="00476D1C"/>
    <w:rsid w:val="004774B4"/>
    <w:rsid w:val="00481CD8"/>
    <w:rsid w:val="004821D9"/>
    <w:rsid w:val="00482DD7"/>
    <w:rsid w:val="00482F42"/>
    <w:rsid w:val="004831A5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1E0D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590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D0B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6C15"/>
    <w:rsid w:val="00560CF3"/>
    <w:rsid w:val="00561209"/>
    <w:rsid w:val="005612D1"/>
    <w:rsid w:val="0056411F"/>
    <w:rsid w:val="0056459E"/>
    <w:rsid w:val="005657E5"/>
    <w:rsid w:val="00566179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870F7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A"/>
    <w:rsid w:val="005D014E"/>
    <w:rsid w:val="005D1751"/>
    <w:rsid w:val="005D226C"/>
    <w:rsid w:val="005D369B"/>
    <w:rsid w:val="005D48A6"/>
    <w:rsid w:val="005D4E6F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4AC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228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3EE1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0084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B9A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0F9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6E6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3506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3CE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821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10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AB3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5B7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25C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C84"/>
    <w:rsid w:val="00964FE8"/>
    <w:rsid w:val="009654CB"/>
    <w:rsid w:val="00965CF4"/>
    <w:rsid w:val="009700B6"/>
    <w:rsid w:val="00972044"/>
    <w:rsid w:val="00973433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6E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0A6F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3A4"/>
    <w:rsid w:val="009D2E6B"/>
    <w:rsid w:val="009D361F"/>
    <w:rsid w:val="009D3A4F"/>
    <w:rsid w:val="009D534A"/>
    <w:rsid w:val="009D5459"/>
    <w:rsid w:val="009D7943"/>
    <w:rsid w:val="009E051A"/>
    <w:rsid w:val="009E2F6A"/>
    <w:rsid w:val="009E3D4D"/>
    <w:rsid w:val="009E4567"/>
    <w:rsid w:val="009E51A4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1C7"/>
    <w:rsid w:val="00A118D1"/>
    <w:rsid w:val="00A121FB"/>
    <w:rsid w:val="00A12779"/>
    <w:rsid w:val="00A131A8"/>
    <w:rsid w:val="00A1403A"/>
    <w:rsid w:val="00A1416A"/>
    <w:rsid w:val="00A141BF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0FB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2582"/>
    <w:rsid w:val="00A52928"/>
    <w:rsid w:val="00A53003"/>
    <w:rsid w:val="00A5345E"/>
    <w:rsid w:val="00A54168"/>
    <w:rsid w:val="00A54949"/>
    <w:rsid w:val="00A55E0A"/>
    <w:rsid w:val="00A5645D"/>
    <w:rsid w:val="00A60363"/>
    <w:rsid w:val="00A606D9"/>
    <w:rsid w:val="00A607E9"/>
    <w:rsid w:val="00A60C51"/>
    <w:rsid w:val="00A61063"/>
    <w:rsid w:val="00A621B5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9C6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566E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10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526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1BE"/>
    <w:rsid w:val="00B51FF2"/>
    <w:rsid w:val="00B526DF"/>
    <w:rsid w:val="00B530C5"/>
    <w:rsid w:val="00B5315C"/>
    <w:rsid w:val="00B54F53"/>
    <w:rsid w:val="00B558B3"/>
    <w:rsid w:val="00B55BE9"/>
    <w:rsid w:val="00B560D2"/>
    <w:rsid w:val="00B5769D"/>
    <w:rsid w:val="00B57B4F"/>
    <w:rsid w:val="00B60F66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9D5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7721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0D52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4D51"/>
    <w:rsid w:val="00CC59D1"/>
    <w:rsid w:val="00CC77FF"/>
    <w:rsid w:val="00CC780F"/>
    <w:rsid w:val="00CC7F9E"/>
    <w:rsid w:val="00CD02B7"/>
    <w:rsid w:val="00CD0E9E"/>
    <w:rsid w:val="00CD1922"/>
    <w:rsid w:val="00CD212A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1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8B2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134F"/>
    <w:rsid w:val="00D4142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53D"/>
    <w:rsid w:val="00D55084"/>
    <w:rsid w:val="00D557F9"/>
    <w:rsid w:val="00D579EB"/>
    <w:rsid w:val="00D614D5"/>
    <w:rsid w:val="00D618AC"/>
    <w:rsid w:val="00D62DE8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330"/>
    <w:rsid w:val="00DA7F6E"/>
    <w:rsid w:val="00DB1C5D"/>
    <w:rsid w:val="00DB211F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5E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87F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09AE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ED0"/>
    <w:rsid w:val="00EA3F7C"/>
    <w:rsid w:val="00EA4289"/>
    <w:rsid w:val="00EA4F84"/>
    <w:rsid w:val="00EA5004"/>
    <w:rsid w:val="00EA5A46"/>
    <w:rsid w:val="00EB0711"/>
    <w:rsid w:val="00EB09DB"/>
    <w:rsid w:val="00EB164E"/>
    <w:rsid w:val="00EB1F8B"/>
    <w:rsid w:val="00EB245F"/>
    <w:rsid w:val="00EB25FE"/>
    <w:rsid w:val="00EB33D4"/>
    <w:rsid w:val="00EB3646"/>
    <w:rsid w:val="00EB3CCD"/>
    <w:rsid w:val="00EB4FDF"/>
    <w:rsid w:val="00EB544E"/>
    <w:rsid w:val="00EB5F9E"/>
    <w:rsid w:val="00EB63C5"/>
    <w:rsid w:val="00EB646B"/>
    <w:rsid w:val="00EB7363"/>
    <w:rsid w:val="00EB7C02"/>
    <w:rsid w:val="00EB7E8B"/>
    <w:rsid w:val="00EC120A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062A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6B5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76B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DF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F18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AEE"/>
    <w:rsid w:val="00FF1B8B"/>
    <w:rsid w:val="00FF40CB"/>
    <w:rsid w:val="00FF4956"/>
    <w:rsid w:val="00FF62AC"/>
    <w:rsid w:val="00FF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har2">
    <w:name w:val="B3 Char2"/>
    <w:link w:val="B3"/>
    <w:rsid w:val="00682228"/>
    <w:rPr>
      <w:color w:val="000000"/>
      <w:lang w:val="en-GB" w:eastAsia="ja-JP"/>
    </w:rPr>
  </w:style>
  <w:style w:type="character" w:customStyle="1" w:styleId="B3Car">
    <w:name w:val="B3 Car"/>
    <w:rsid w:val="00F85DF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2280</TotalTime>
  <Pages>3</Pages>
  <Words>523</Words>
  <Characters>2986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142</cp:revision>
  <cp:lastPrinted>2018-08-13T09:59:00Z</cp:lastPrinted>
  <dcterms:created xsi:type="dcterms:W3CDTF">2020-03-09T02:10:00Z</dcterms:created>
  <dcterms:modified xsi:type="dcterms:W3CDTF">2025-08-15T14:03:00Z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